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573"/>
        <w:gridCol w:w="143"/>
        <w:gridCol w:w="144"/>
        <w:gridCol w:w="143"/>
        <w:gridCol w:w="2866"/>
        <w:gridCol w:w="286"/>
        <w:gridCol w:w="430"/>
        <w:gridCol w:w="860"/>
        <w:gridCol w:w="429"/>
        <w:gridCol w:w="430"/>
        <w:gridCol w:w="144"/>
        <w:gridCol w:w="429"/>
        <w:gridCol w:w="287"/>
        <w:gridCol w:w="287"/>
        <w:gridCol w:w="143"/>
        <w:gridCol w:w="143"/>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1132"/>
        <w:gridCol w:w="26"/>
      </w:tblGrid>
      <w:tr w:rsidR="00D0096B">
        <w:trPr>
          <w:trHeight w:hRule="exact" w:val="573"/>
        </w:trPr>
        <w:tc>
          <w:tcPr>
            <w:tcW w:w="15618" w:type="dxa"/>
            <w:gridSpan w:val="36"/>
          </w:tcPr>
          <w:p w:rsidR="00D0096B" w:rsidRPr="00EF639F" w:rsidRDefault="00EF639F">
            <w:pPr>
              <w:rPr>
                <w:color w:val="FFFFFF" w:themeColor="background1"/>
              </w:rPr>
            </w:pPr>
            <w:r w:rsidRPr="00EF639F">
              <w:rPr>
                <w:noProof/>
                <w:color w:val="FFFFFF" w:themeColor="background1"/>
              </w:rPr>
              <mc:AlternateContent>
                <mc:Choice Requires="wps">
                  <w:drawing>
                    <wp:anchor distT="0" distB="0" distL="114300" distR="114300" simplePos="0" relativeHeight="251659264" behindDoc="0" locked="0" layoutInCell="1" allowOverlap="1" wp14:anchorId="601B572B" wp14:editId="13EBEC75">
                      <wp:simplePos x="0" y="0"/>
                      <wp:positionH relativeFrom="column">
                        <wp:posOffset>6751320</wp:posOffset>
                      </wp:positionH>
                      <wp:positionV relativeFrom="paragraph">
                        <wp:posOffset>-544830</wp:posOffset>
                      </wp:positionV>
                      <wp:extent cx="3383280" cy="1455420"/>
                      <wp:effectExtent l="0" t="0" r="26670" b="11430"/>
                      <wp:wrapNone/>
                      <wp:docPr id="10" name="Прямоугольник 10"/>
                      <wp:cNvGraphicFramePr/>
                      <a:graphic xmlns:a="http://schemas.openxmlformats.org/drawingml/2006/main">
                        <a:graphicData uri="http://schemas.microsoft.com/office/word/2010/wordprocessingShape">
                          <wps:wsp>
                            <wps:cNvSpPr/>
                            <wps:spPr>
                              <a:xfrm>
                                <a:off x="0" y="0"/>
                                <a:ext cx="3383280" cy="1455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Утверждено</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Решением президиума </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Совета при Главе Кабардино-Балкарской Республики</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по стратегическому развитию и национальным проектам</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от 12 декабря 2018 г. №2 </w:t>
                                  </w:r>
                                </w:p>
                                <w:p w:rsidR="00EF639F" w:rsidRDefault="00EF639F" w:rsidP="00EF6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531.6pt;margin-top:-42.9pt;width:266.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" fillcolor="#4f81bd [3204]" strokecolor="#243f60 [1604]" strokeweight="2pt">
                      <v:textbox>
                        <w:txbxContent>
                          <w:p w:rsidR="00EF639F" w:rsidRPr="00EF639F" w:rsidRDefault="00EF639F" w:rsidP="00EF639F">
                            <w:pPr>
                              <w:jc w:val="right"/>
                              <w:rPr>
                                <w:rFonts w:ascii="Times New Roman" w:eastAsia="Times New Roman" w:hAnsi="Times New Roman" w:cs="Times New Roman"/>
                                <w:sz w:val="24"/>
                                <w:szCs w:val="24"/>
                              </w:rPr>
                            </w:pPr>
                            <w:bookmarkStart w:id="1" w:name="_GoBack"/>
                            <w:r w:rsidRPr="00EF639F">
                              <w:rPr>
                                <w:rFonts w:ascii="Times New Roman" w:eastAsia="Times New Roman" w:hAnsi="Times New Roman" w:cs="Times New Roman"/>
                                <w:sz w:val="24"/>
                                <w:szCs w:val="24"/>
                              </w:rPr>
                              <w:t>Утверждено</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Решением президиума </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Совета при Главе Кабардино-Балкарской Республики</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по стратегическому развитию и национальным проектам</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от 12 декабря 2018 г. №2 </w:t>
                            </w:r>
                          </w:p>
                          <w:bookmarkEnd w:id="1"/>
                          <w:p w:rsidR="00EF639F" w:rsidRDefault="00EF639F" w:rsidP="00EF639F">
                            <w:pPr>
                              <w:jc w:val="center"/>
                            </w:pPr>
                          </w:p>
                        </w:txbxContent>
                      </v:textbox>
                    </v:rect>
                  </w:pict>
                </mc:Fallback>
              </mc:AlternateContent>
            </w:r>
          </w:p>
        </w:tc>
      </w:tr>
      <w:tr w:rsidR="00D0096B">
        <w:trPr>
          <w:trHeight w:hRule="exact" w:val="387"/>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D0096B">
        <w:trPr>
          <w:trHeight w:hRule="exact" w:val="43"/>
        </w:trPr>
        <w:tc>
          <w:tcPr>
            <w:tcW w:w="15618" w:type="dxa"/>
            <w:gridSpan w:val="36"/>
          </w:tcPr>
          <w:p w:rsidR="00D0096B" w:rsidRDefault="00D0096B"/>
        </w:tc>
      </w:tr>
      <w:tr w:rsidR="00D0096B">
        <w:trPr>
          <w:trHeight w:hRule="exact" w:val="387"/>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D0096B">
        <w:trPr>
          <w:trHeight w:hRule="exact" w:val="43"/>
        </w:trPr>
        <w:tc>
          <w:tcPr>
            <w:tcW w:w="15618" w:type="dxa"/>
            <w:gridSpan w:val="36"/>
          </w:tcPr>
          <w:p w:rsidR="00D0096B" w:rsidRDefault="00D0096B"/>
        </w:tc>
      </w:tr>
      <w:tr w:rsidR="00D0096B">
        <w:trPr>
          <w:trHeight w:hRule="exact" w:val="573"/>
        </w:trPr>
        <w:tc>
          <w:tcPr>
            <w:tcW w:w="15618" w:type="dxa"/>
            <w:gridSpan w:val="36"/>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Цифровая образовательная среда (Кабардино-Балкарская Республика)</w:t>
            </w:r>
          </w:p>
        </w:tc>
      </w:tr>
      <w:tr w:rsidR="00D0096B">
        <w:trPr>
          <w:trHeight w:hRule="exact" w:val="716"/>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w:t>
            </w:r>
          </w:p>
        </w:tc>
      </w:tr>
      <w:tr w:rsidR="00D0096B">
        <w:trPr>
          <w:trHeight w:hRule="exact" w:val="574"/>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01.11.2018 - 30.12.2024</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Мовсисян Грант Олегович, ЗАМЕСТИТЕЛЬ ПРЕДСЕДАТЕЛЯ ПРАВИТЕЛЬСТВА КАБАРДИНО-БАЛКАРСКОЙ РЕСПУБЛИКИ </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Ауес Мухамедович, МИНИСТР</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Ирина Васильевна, ЗАМЕСТИТЕЛЬ МИНИСТРА </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Кабардино-Балкарской Республики "Развитие образования в Кабардино-Балкарской Республике"</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(Кабардино-Балкарская Республика)</w:t>
            </w:r>
          </w:p>
        </w:tc>
      </w:tr>
      <w:tr w:rsidR="00D0096B">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D0096B">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D0096B">
        <w:trPr>
          <w:trHeight w:hRule="exact" w:val="256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r>
      <w:tr w:rsidR="00D0096B">
        <w:trPr>
          <w:trHeight w:hRule="exact" w:val="429"/>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D0096B">
        <w:trPr>
          <w:trHeight w:hRule="exact" w:val="574"/>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D0096B">
        <w:trPr>
          <w:trHeight w:hRule="exact" w:val="194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95,0000</w:t>
            </w:r>
          </w:p>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w:t>
            </w:r>
            <w:bookmarkStart w:id="0" w:name="_GoBack"/>
            <w:r>
              <w:rPr>
                <w:rFonts w:ascii="Times New Roman" w:eastAsia="Times New Roman" w:hAnsi="Times New Roman" w:cs="Times New Roman"/>
                <w:color w:val="000000"/>
                <w:spacing w:val="-2"/>
                <w:sz w:val="24"/>
              </w:rPr>
              <w:t>федеральной информационно-сервисной платформы цифровой образовательной среды</w:t>
            </w:r>
            <w:bookmarkEnd w:id="0"/>
            <w:r>
              <w:rPr>
                <w:rFonts w:ascii="Times New Roman" w:eastAsia="Times New Roman" w:hAnsi="Times New Roman" w:cs="Times New Roman"/>
                <w:color w:val="000000"/>
                <w:spacing w:val="-2"/>
                <w:sz w:val="24"/>
              </w:rPr>
              <w:t>, в общем числе образовательных организаций</w:t>
            </w:r>
          </w:p>
        </w:tc>
      </w:tr>
      <w:tr w:rsidR="00D0096B">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D0096B">
        <w:trPr>
          <w:trHeight w:hRule="exact" w:val="16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r>
      <w:tr w:rsidR="00D0096B">
        <w:trPr>
          <w:trHeight w:hRule="exact" w:val="154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r>
      <w:tr w:rsidR="00D0096B">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D0096B">
        <w:trPr>
          <w:trHeight w:hRule="exact" w:val="574"/>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rsidR="00D0096B">
        <w:trPr>
          <w:trHeight w:hRule="exact" w:val="154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r>
      <w:tr w:rsidR="00D0096B">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43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w:t>
            </w:r>
          </w:p>
          <w:p w:rsidR="00D0096B" w:rsidRDefault="00D0096B"/>
        </w:tc>
      </w:tr>
      <w:tr w:rsidR="00D0096B">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r>
      <w:tr w:rsidR="00D0096B">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31.12.2024 - 90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к концу 2024 года Интернет-соединением и гарантированным интернет-трафиком 100 % образовательных организаций, расположенных на территории Кабардино-Балкарской Республики  ,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гарантированный доступ обучающихся в общеобразовательных организациях к сети Интернет;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оптимизировать финансовую нагрузку на общеобразовательные организации в части обеспечения доступа к ресурсам сети Интернет​</w:t>
            </w:r>
          </w:p>
          <w:p w:rsidR="00D0096B" w:rsidRDefault="00D0096B"/>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Создание к концу 2024 года не менее 13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w:t>
            </w:r>
            <w:r>
              <w:rPr>
                <w:rFonts w:ascii="Times New Roman" w:eastAsia="Times New Roman" w:hAnsi="Times New Roman" w:cs="Times New Roman"/>
                <w:spacing w:val="-2"/>
                <w:sz w:val="24"/>
                <w:szCs w:val="24"/>
              </w:rPr>
              <w:lastRenderedPageBreak/>
              <w:t>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D0096B" w:rsidRDefault="00D0096B"/>
        </w:tc>
      </w:tr>
      <w:tr w:rsidR="00D0096B">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31.12.2024 - 13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70% обучающимся по программам общего образования, дополнительного образования для детей и среднего профессионального образования на ЕГПУ доступен личный кабинет «Образование»,  который  обеспечивает:  фиксацию  образовательных результатов; просмотр индивидуального плана обучения;  доступ к цифровому образовательному профилю,  включающего в себя сервисы по получению образовательных услуг и государственных услуг в сфере образования в электронной форме</w:t>
            </w:r>
          </w:p>
          <w:p w:rsidR="00D0096B" w:rsidRDefault="00D0096B"/>
        </w:tc>
      </w:tr>
      <w:tr w:rsidR="00D0096B">
        <w:trPr>
          <w:trHeight w:hRule="exact" w:val="88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Создание современной и безопасной цифровой образовательной среды, обеспечивающей высокое качество и доступность образования всех видов и уровней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8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D0096B" w:rsidRDefault="00D0096B"/>
        </w:tc>
      </w:tr>
      <w:tr w:rsidR="00D0096B">
        <w:trPr>
          <w:trHeight w:hRule="exact" w:val="18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12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обеспечить представление информации об образовательных организациях, необходимой для всех участников образовательного процесса;</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7 мая 2018 г. № 204.</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31.12.2022</w:t>
            </w:r>
          </w:p>
          <w:p w:rsidR="00D0096B" w:rsidRDefault="00D0096B"/>
        </w:tc>
      </w:tr>
      <w:tr w:rsidR="00D0096B">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31.12.2022 - 100 ПРОЦ</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Внедрение к концу 2024 года в основные образовательные программы современных цифровых технологий, для не менее чем 500 тыс. детей, обучающихся в 25% общеобразовательных организаций 75 субъектов Российской Федерации,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предоставить возможность обучающимся использовать 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условия для подготовки высококвалифицированных кадров, обладающих актуальными компетенциями в сфере современных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до конца 2020 года эксперимента по внедрению в образовательную программу современных цифровых технологий с участием не менее 5 тыс. детей, обучающихся в 5% общеобразовательных организаций 10 субъектов Российской Федерации,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предоставить возможность обучающимся использовать </w:t>
            </w:r>
            <w:r>
              <w:rPr>
                <w:rFonts w:ascii="Times New Roman" w:eastAsia="Times New Roman" w:hAnsi="Times New Roman" w:cs="Times New Roman"/>
                <w:spacing w:val="-2"/>
                <w:sz w:val="24"/>
                <w:szCs w:val="24"/>
              </w:rPr>
              <w:lastRenderedPageBreak/>
              <w:t>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условия для подготовки высококвалифицированных кадров, обладающих актуальными компетенциями в сфере современных технологий</w:t>
            </w:r>
          </w:p>
          <w:p w:rsidR="00D0096B" w:rsidRDefault="00D0096B"/>
        </w:tc>
      </w:tr>
      <w:tr w:rsidR="00D0096B">
        <w:trPr>
          <w:trHeight w:hRule="exact" w:val="18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31.12.2020 - 0.8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31.12.2021 - 7.5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31.12.2023 - 15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31.12.2024 - 25 ТЫС ЧЕЛ</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vMerge/>
            <w:tcBorders>
              <w:left w:val="single" w:sz="5" w:space="0" w:color="000000"/>
              <w:bottom w:val="single" w:sz="5" w:space="0" w:color="000000"/>
              <w:right w:val="single" w:sz="5" w:space="0" w:color="000000"/>
            </w:tcBorders>
            <w:shd w:val="clear" w:color="auto" w:fill="auto"/>
            <w:vAlign w:val="center"/>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tc>
      </w:tr>
      <w:tr w:rsidR="00D0096B">
        <w:trPr>
          <w:trHeight w:hRule="exact" w:val="43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D0096B" w:rsidRDefault="00D0096B"/>
        </w:tc>
      </w:tr>
      <w:tr w:rsidR="00D0096B">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D0096B">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D0096B" w:rsidRDefault="00D0096B"/>
        </w:tc>
        <w:tc>
          <w:tcPr>
            <w:tcW w:w="14615" w:type="dxa"/>
            <w:gridSpan w:val="3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76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D0096B">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D0096B">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1147"/>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трансферты бюджету) (Кабардино-Балкарская Республика)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бюджеты муниципальных образований (без учета межбюджетных трансфертов из бюджета субъектов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tc>
      </w:tr>
      <w:tr w:rsidR="00D0096B">
        <w:trPr>
          <w:trHeight w:hRule="exact" w:val="43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D0096B" w:rsidRDefault="00D0096B"/>
        </w:tc>
      </w:tr>
      <w:tr w:rsidR="00D0096B">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D0096B">
        <w:trPr>
          <w:trHeight w:hRule="exact" w:val="573"/>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D0096B" w:rsidRDefault="00D0096B"/>
        </w:tc>
      </w:tr>
      <w:tr w:rsidR="00D0096B">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Агирова С. Х.</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Люев А. Х.</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ГБУ "ЦЕНТР МОНИТОРИНГА И СТАТИСТИКИ ОБРАЗОВАНИЯ"</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Ауес Мухамедович</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r>
      <w:tr w:rsidR="00D0096B">
        <w:trPr>
          <w:trHeight w:hRule="exact" w:val="717"/>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D0096B">
        <w:trPr>
          <w:trHeight w:hRule="exact" w:val="717"/>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p>
          <w:p w:rsidR="00D0096B" w:rsidRDefault="00D0096B"/>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D0096B">
        <w:trPr>
          <w:trHeight w:hRule="exact" w:val="559"/>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D0096B">
        <w:trPr>
          <w:trHeight w:hRule="exact" w:val="14"/>
        </w:trPr>
        <w:tc>
          <w:tcPr>
            <w:tcW w:w="15603" w:type="dxa"/>
            <w:gridSpan w:val="35"/>
            <w:tcBorders>
              <w:bottom w:val="single" w:sz="5" w:space="0" w:color="000000"/>
            </w:tcBorders>
          </w:tcPr>
          <w:p w:rsidR="00D0096B" w:rsidRDefault="00D0096B"/>
        </w:tc>
        <w:tc>
          <w:tcPr>
            <w:tcW w:w="15" w:type="dxa"/>
          </w:tcPr>
          <w:p w:rsidR="00D0096B" w:rsidRDefault="00D0096B"/>
        </w:tc>
      </w:tr>
      <w:tr w:rsidR="00D0096B">
        <w:trPr>
          <w:trHeight w:hRule="exact" w:val="1476"/>
        </w:trPr>
        <w:tc>
          <w:tcPr>
            <w:tcW w:w="15603" w:type="dxa"/>
            <w:gridSpan w:val="3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6.1. Модель функционирования результатов и достижения показателей регионального проекта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Региональный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Результаты реализации настоящего регионального проекта окажут существенное влияние на оптимизацию деятельности образовательных организаций, а также обеспечит создание условий для глобальной конкурентоспособности российского образования, обеспечения высокого качества обучения, направленных на улучшение качества жизни в каждом регионе.</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tc>
        <w:tc>
          <w:tcPr>
            <w:tcW w:w="15" w:type="dxa"/>
            <w:tcBorders>
              <w:left w:val="single" w:sz="5" w:space="0" w:color="000000"/>
            </w:tcBorders>
          </w:tcPr>
          <w:p w:rsidR="00D0096B" w:rsidRDefault="00D0096B"/>
        </w:tc>
      </w:tr>
      <w:tr w:rsidR="00D0096B">
        <w:trPr>
          <w:trHeight w:hRule="exact" w:val="1476"/>
        </w:trPr>
        <w:tc>
          <w:tcPr>
            <w:tcW w:w="15603" w:type="dxa"/>
            <w:gridSpan w:val="35"/>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5" w:type="dxa"/>
            <w:tcBorders>
              <w:left w:val="single" w:sz="5" w:space="0" w:color="000000"/>
            </w:tcBorders>
          </w:tcPr>
          <w:p w:rsidR="00D0096B" w:rsidRDefault="00D0096B"/>
        </w:tc>
      </w:tr>
      <w:tr w:rsidR="00D0096B">
        <w:trPr>
          <w:trHeight w:hRule="exact" w:val="430"/>
        </w:trPr>
        <w:tc>
          <w:tcPr>
            <w:tcW w:w="15618" w:type="dxa"/>
            <w:gridSpan w:val="36"/>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pPr>
              <w:spacing w:line="230" w:lineRule="auto"/>
              <w:jc w:val="center"/>
              <w:rPr>
                <w:rFonts w:ascii="Times New Roman" w:eastAsia="Times New Roman" w:hAnsi="Times New Roman" w:cs="Times New Roman"/>
                <w:color w:val="000000"/>
                <w:spacing w:val="-2"/>
                <w:sz w:val="28"/>
              </w:rPr>
            </w:pPr>
          </w:p>
        </w:tc>
      </w:tr>
      <w:tr w:rsidR="00D0096B">
        <w:trPr>
          <w:trHeight w:hRule="exact" w:val="717"/>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Внедрение федеральной информационно-сервисной платформы цифровой образовательной среды и набора типовых информационных решений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1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(IV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(III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15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70 %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1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к концу 2024 года Интернет-соединением и гарантированным интернет-трафиком 100 % образовательных организаций, расположенных на территории Кабардино-Балкарской Республики  , позволит: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7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гарантированный доступ обучающихся в общеобразовательных организациях к сети Интернет;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оптимизировать финансовую нагрузку на общеобразовательные организации в части обеспечения доступа к ресурсам сети Интернет​</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19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65 %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Обеспечено интернет-соединение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65 % 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70 %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70 %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Не менее 75 %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75 %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85 %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95 %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95 %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w:t>
            </w:r>
            <w:r>
              <w:rPr>
                <w:rFonts w:ascii="Times New Roman" w:eastAsia="Times New Roman" w:hAnsi="Times New Roman" w:cs="Times New Roman"/>
                <w:color w:val="000000"/>
                <w:spacing w:val="-2"/>
                <w:sz w:val="24"/>
              </w:rPr>
              <w:lastRenderedPageBreak/>
              <w:t>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 образовательные организации, расположенные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Положение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Положение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Объявление о проведении в 2018 году отбора субъектов Российской Федерации на предоставление в 2019 году субсидии из 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01.10.2018</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2018 году отбора субъектов Российской Федерации на предоставление в 2019 году субсидии из 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2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2019 году отбора субъектов Российской Федерации на предоставление в 2020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2019 году отбора субъектов Российской Федерации на предоставление в 2020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2020 году отбора субъектов Российской Федерации на предоставление в 2021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2020 году отбора субъектов Российской Федерации на предоставление в 2021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Объявление о проведении в 2021 году отбора субъектов Российской Федерации на предоставление в 2022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w:t>
            </w:r>
            <w:r>
              <w:rPr>
                <w:rFonts w:ascii="Times New Roman" w:eastAsia="Times New Roman" w:hAnsi="Times New Roman" w:cs="Times New Roman"/>
                <w:color w:val="000000"/>
                <w:spacing w:val="-2"/>
                <w:sz w:val="24"/>
              </w:rPr>
              <w:lastRenderedPageBreak/>
              <w:t>«Цифровая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2021 году отбора субъектов Российской Федерации на предоставление в 2022 </w:t>
            </w:r>
            <w:r>
              <w:rPr>
                <w:rFonts w:ascii="Times New Roman" w:eastAsia="Times New Roman" w:hAnsi="Times New Roman" w:cs="Times New Roman"/>
                <w:spacing w:val="-2"/>
                <w:sz w:val="24"/>
                <w:szCs w:val="24"/>
              </w:rPr>
              <w:lastRenderedPageBreak/>
              <w:t>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2022 году отбора субъектов Российской Федерации на предоставление в 2023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2022 году отбора субъектов Российской Федерации на предоставление в 2023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2014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2023 году отбора субъектов Российской Федерации на предоставление в 2024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2023 году отбора субъектов Российской Федерации на предоставление в 2024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2022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4.19.2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5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Соглашение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Соглашение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 на создание и функционирование Центра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на создание и функционирование Центра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 и утвержден примерный перечень оборудования для внедрения целевой модели цифровой образовательной среды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 и утвержден примерный перечень оборудования для внедрения целевой модели цифровой образовательной среды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Проведена конкурсная процедура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оплата по государственному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оплата по государственному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 xml:space="preserve">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80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 xml:space="preserve">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Подготовлены предложения о дальнейшей поддержке создания цифровых учебно-методических комплексов (ЦУМК) на основе итогов мониторинга спроса и эффективности использования создаваемых ЦУМКов в 2019 году в рамках реализации национальной программы "Цифровая экономика"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о предложениях по дальнейшей поддержке создания ЦУМК, решение Проектного комитета о реализации мероприятия федерального проекта.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Подготовлены предложения о дальнейшей поддержке создания цифровых учебно-методических комплексов (ЦУМК) на основе итогов мониторинга спроса и эффективности использования создаваемых ЦУМКов в 2019 году в рамках реализации национальной программы "Цифровая экономика"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о предложениях по дальнейшей поддержке создания ЦУМК, решение Проектного комитета о реализации мероприятия федерального проекта.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120</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Разработка предложений по совершенствованию процедуры государственной итоговой аттестации и иных оценочных процедур в системе общего образования при внедрении целевой модели цифровой образовательной среды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решение Проектного комитета о предложениях по дальнейшей реализации мероприятий федерального проекта. Разработаны предложения по совершенствованию процедуры государственной итоговой аттестации</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предложений по совершенствованию процедуры государственной итоговой аттестации и иных оценочных процедур в системе общего образования при внедрении целевой модели цифровой образовательной среды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решение Проектного комитета о предложениях по дальнейшей реализации мероприятий федерального проекта. Разработаны предложения по совершенствованию процедуры государственной итоговой аттестации</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к концу 2024 года не менее 13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2 центра цифрового образования детей «IT-куб» с охватом не менее 800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заявка Кабардино-Балкарской Республики в Министерство просвещения Российской Федерации в установленном порядке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4 центра цифрового образования детей «IT-куб» с охватом 1500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6 центров цифрового образования детей «IT-куб» с охватом не менее 2400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8 центров цифрового образования детей «IT-куб» с охватом не менее 3200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13 центров цифрового образования детей «IT-куб» с охватом 5200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Обеспечена подготовка для утверждения регионального паспорта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Обновлено в 40 % образовательных организаций, расположенных на территории Кабардино-Балкарской Республики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для администраторов школьных сайтов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информационному наполнению сайтов в соответствии с новыми требованиями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Обеспечена подготовка для утверждения регионального паспорта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Обновлено в 70 % образовательных организаций, расположенных на территории Кабардино-Балкарской Республики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для администраторов школьных сайтов образовательных организаций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Во всех образовательных организациях,  расположенных на территории Кабардино-Балкарской Республики,  обновлено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обновлено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Обеспечена подготовка для утверждения регионального паспорта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Обеспечена подготовка для утверждения регионального паспорта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w:t>
            </w:r>
            <w:r>
              <w:rPr>
                <w:rFonts w:ascii="Times New Roman" w:eastAsia="Times New Roman" w:hAnsi="Times New Roman" w:cs="Times New Roman"/>
                <w:color w:val="000000"/>
                <w:spacing w:val="-2"/>
                <w:sz w:val="24"/>
              </w:rPr>
              <w:lastRenderedPageBreak/>
              <w:t>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w:t>
            </w:r>
            <w:r>
              <w:rPr>
                <w:rFonts w:ascii="Times New Roman" w:eastAsia="Times New Roman" w:hAnsi="Times New Roman" w:cs="Times New Roman"/>
                <w:spacing w:val="-2"/>
                <w:sz w:val="24"/>
                <w:szCs w:val="24"/>
              </w:rPr>
              <w:lastRenderedPageBreak/>
              <w:t>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результата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Осуществление мониторинга исполнения соглашения в том числе динамики достижения настоящего результата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результата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обновлении информационного наполнения и функциональных </w:t>
            </w:r>
            <w:r>
              <w:rPr>
                <w:rFonts w:ascii="Times New Roman" w:eastAsia="Times New Roman" w:hAnsi="Times New Roman" w:cs="Times New Roman"/>
                <w:spacing w:val="-2"/>
                <w:sz w:val="24"/>
                <w:szCs w:val="24"/>
              </w:rPr>
              <w:lastRenderedPageBreak/>
              <w:t>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обновлении информационного наполнения и функциональных </w:t>
            </w:r>
            <w:r>
              <w:rPr>
                <w:rFonts w:ascii="Times New Roman" w:eastAsia="Times New Roman" w:hAnsi="Times New Roman" w:cs="Times New Roman"/>
                <w:spacing w:val="-2"/>
                <w:sz w:val="24"/>
                <w:szCs w:val="24"/>
              </w:rPr>
              <w:lastRenderedPageBreak/>
              <w:t>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 необходимости внесены изменения в нормативные правовые акты, в том числе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рекомендации, информационное письмо Министерства просвещения Российской Федерации в субъекты Российской Федерации о направлении методических рекомендаций. Сформирована методологическая основа реализации мероприятий федерального проекта по обновлению информационных ресурсов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 необходимости внесены изменения в нормативные правовые акты, в том числе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рекомендации, информационное письмо Министерства просвещения Российской Федерации в субъекты Российской Федерации о направлении методических рекомендаций. Сформирована методологическая основа реализации мероприятий федерального проекта по обновлению информационных ресурсов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 образовательных организаций, расположенных на территории Кабардино-Балкарской Республики обновили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обучающих мероприятий для ответственных лиц по администрированию школьных сайтов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обновлению информационного наполнения школьных сайтов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методические рекомендации по обновлению информационного наполнения школьных сайтов</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не задана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70% обучающимся по программам общего образования, дополнительного образования для детей и среднего профессионального образования на ЕГПУ доступен личный кабинет «Образование»,  который  обеспечивает:  фиксацию  образовательных результатов; просмотр индивидуального плана обучения;  доступ к цифровому образовательному профилю,  включающего в себя сервисы по получению образовательных услуг и государственных услуг в сфере образования в электронной форме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15 %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15%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15%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50%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60 %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60%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70 %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до конца 2020 года эксперимента по внедрению в образовательную программу современных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цифровых технологий с участием не менее 5 тыс. детей, обучающихся в 5% общеобразовательных организаций 10 субъектов Российской Федерации, позволит: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предоставить возможность обучающимся использовать 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условия для подготовки высококвалифицированных кадров, обладающих актуальными компетенциями в сфере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современных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и дидактические материалы по внедрению и использованию цифровых </w:t>
            </w:r>
            <w:r>
              <w:rPr>
                <w:rFonts w:ascii="Times New Roman" w:eastAsia="Times New Roman" w:hAnsi="Times New Roman" w:cs="Times New Roman"/>
                <w:spacing w:val="-2"/>
                <w:sz w:val="24"/>
                <w:szCs w:val="24"/>
              </w:rPr>
              <w:lastRenderedPageBreak/>
              <w:t xml:space="preserve">технологий. Разработаны экспериментальные формы, методы и средства обучения, а также методические и дидактические материалы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 их использованию для дальнейшего внедрения в образовательном процессе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методических и дидактических материалов </w:t>
            </w:r>
            <w:r>
              <w:rPr>
                <w:rFonts w:ascii="Times New Roman" w:eastAsia="Times New Roman" w:hAnsi="Times New Roman" w:cs="Times New Roman"/>
                <w:color w:val="000000"/>
                <w:spacing w:val="-2"/>
                <w:sz w:val="24"/>
              </w:rPr>
              <w:lastRenderedPageBreak/>
              <w:t>(моделей)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и дидактические материалы по внедрению и использованию цифровых технологий. Разработаны </w:t>
            </w:r>
            <w:r>
              <w:rPr>
                <w:rFonts w:ascii="Times New Roman" w:eastAsia="Times New Roman" w:hAnsi="Times New Roman" w:cs="Times New Roman"/>
                <w:spacing w:val="-2"/>
                <w:sz w:val="24"/>
                <w:szCs w:val="24"/>
              </w:rPr>
              <w:lastRenderedPageBreak/>
              <w:t>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эксперимент по внедрению в образовательную программу современных цифровых технологий, перечня пилотных образовательных организаций (не менее 5 %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 xml:space="preserve">образовательных организаций (10%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10 %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(10%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(15%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15%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 xml:space="preserve">образовательных организаций (15%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20 %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образовательных организаций (25%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w:t>
            </w:r>
            <w:r>
              <w:rPr>
                <w:rFonts w:ascii="Times New Roman" w:eastAsia="Times New Roman" w:hAnsi="Times New Roman" w:cs="Times New Roman"/>
                <w:color w:val="000000"/>
                <w:spacing w:val="-2"/>
                <w:sz w:val="24"/>
              </w:rPr>
              <w:lastRenderedPageBreak/>
              <w:t>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реализации эксперимента по внедрению в образовательную </w:t>
            </w:r>
            <w:r>
              <w:rPr>
                <w:rFonts w:ascii="Times New Roman" w:eastAsia="Times New Roman" w:hAnsi="Times New Roman" w:cs="Times New Roman"/>
                <w:spacing w:val="-2"/>
                <w:sz w:val="24"/>
                <w:szCs w:val="24"/>
              </w:rPr>
              <w:lastRenderedPageBreak/>
              <w:t>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не менее 4000 детей, обучающихся в 15 %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 эксперимент по внедрению в образовательную программу современных цифровых технологий, с охватом 500 детей, обучающихся в 5 % общеобразовательных организаций, расположенных на территории Кабардино-Балкарской Республики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экспериментальных площадок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сети экспериментальных площадок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в образовательную программу современных цифровых технологий при реализации основных общеобразовательных 2600  детей, обучающихся в 10 %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5300 детей, обучающихся в 20 %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7000 детей, обучающихся в 25 %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Метод рекомендации, информационно-аналитическая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r>
      <w:tr w:rsidR="00D0096B">
        <w:trPr>
          <w:trHeight w:hRule="exact" w:val="86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702"/>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Количество субъектов Российской Федерации, в которых внедрена целевая </w:t>
            </w:r>
            <w:r>
              <w:rPr>
                <w:rFonts w:ascii="Times New Roman" w:eastAsia="Times New Roman" w:hAnsi="Times New Roman" w:cs="Times New Roman"/>
                <w:color w:val="000000"/>
                <w:spacing w:val="-2"/>
                <w:sz w:val="24"/>
              </w:rPr>
              <w:lastRenderedPageBreak/>
              <w:t>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единиц, нарастающим итогом</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Xi - число субъектов Российской Федерации, в которых </w:t>
            </w:r>
            <w:r>
              <w:rPr>
                <w:rFonts w:ascii="Times New Roman" w:eastAsia="Times New Roman" w:hAnsi="Times New Roman" w:cs="Times New Roman"/>
                <w:color w:val="000000"/>
                <w:spacing w:val="-2"/>
                <w:sz w:val="24"/>
              </w:rPr>
              <w:lastRenderedPageBreak/>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w:t>
            </w:r>
            <w:r>
              <w:rPr>
                <w:rFonts w:ascii="Times New Roman" w:eastAsia="Times New Roman" w:hAnsi="Times New Roman" w:cs="Times New Roman"/>
                <w:color w:val="000000"/>
                <w:spacing w:val="-2"/>
                <w:sz w:val="24"/>
              </w:rPr>
              <w:lastRenderedPageBreak/>
              <w:t>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Муниципальные образования </w:t>
            </w:r>
            <w:r>
              <w:rPr>
                <w:rFonts w:ascii="Times New Roman" w:eastAsia="Times New Roman" w:hAnsi="Times New Roman" w:cs="Times New Roman"/>
                <w:color w:val="000000"/>
                <w:spacing w:val="-2"/>
                <w:sz w:val="24"/>
              </w:rPr>
              <w:lastRenderedPageBreak/>
              <w:t>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1920317" cy="548844"/>
                          </a:xfrm>
                          <a:prstGeom prst="rect">
                            <a:avLst/>
                          </a:prstGeom>
                        </pic:spPr>
                      </pic:pic>
                    </a:graphicData>
                  </a:graphic>
                </wp:inline>
              </w:drawing>
            </w:r>
          </w:p>
        </w:tc>
      </w:tr>
      <w:tr w:rsidR="00D0096B">
        <w:trPr>
          <w:trHeight w:hRule="exact" w:val="19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Xi -  число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D0096B">
        <w:trPr>
          <w:trHeight w:hRule="exact" w:val="19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w:t>
            </w:r>
            <w:r>
              <w:rPr>
                <w:rFonts w:ascii="Times New Roman" w:eastAsia="Times New Roman" w:hAnsi="Times New Roman" w:cs="Times New Roman"/>
                <w:color w:val="000000"/>
                <w:spacing w:val="-2"/>
                <w:sz w:val="24"/>
              </w:rPr>
              <w:lastRenderedPageBreak/>
              <w:t>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w:t>
            </w:r>
            <w:r>
              <w:rPr>
                <w:rFonts w:ascii="Times New Roman" w:eastAsia="Times New Roman" w:hAnsi="Times New Roman" w:cs="Times New Roman"/>
                <w:color w:val="000000"/>
                <w:spacing w:val="-2"/>
                <w:sz w:val="24"/>
              </w:rPr>
              <w:lastRenderedPageBreak/>
              <w:t>обучения с использованием федеральной информационно-сервисной платформы цифровой образовательной среды,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6" cstate="print"/>
                          <a:stretch>
                            <a:fillRect/>
                          </a:stretch>
                        </pic:blipFill>
                        <pic:spPr>
                          <a:xfrm>
                            <a:off x="0" y="0"/>
                            <a:ext cx="1920317" cy="548206"/>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w:t>
            </w:r>
            <w:r>
              <w:rPr>
                <w:rFonts w:ascii="Times New Roman" w:eastAsia="Times New Roman" w:hAnsi="Times New Roman" w:cs="Times New Roman"/>
                <w:color w:val="000000"/>
                <w:spacing w:val="-2"/>
                <w:sz w:val="24"/>
              </w:rPr>
              <w:lastRenderedPageBreak/>
              <w:t>индивидуальный план обучения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Yвсего - общее число обучающихся по программам общего образования, дополнительного образования для детей и среднего </w:t>
            </w:r>
          </w:p>
        </w:tc>
      </w:tr>
      <w:tr w:rsidR="00D0096B">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70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профессионального образования</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обучающихся по программам общего образования, дополнительного </w:t>
            </w:r>
            <w:r>
              <w:rPr>
                <w:rFonts w:ascii="Times New Roman" w:eastAsia="Times New Roman" w:hAnsi="Times New Roman" w:cs="Times New Roman"/>
                <w:color w:val="000000"/>
                <w:spacing w:val="-2"/>
                <w:sz w:val="24"/>
              </w:rPr>
              <w:lastRenderedPageBreak/>
              <w:t>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Yвсего - Общее число обучающихся по программам общего </w:t>
            </w:r>
            <w:r>
              <w:rPr>
                <w:rFonts w:ascii="Times New Roman" w:eastAsia="Times New Roman" w:hAnsi="Times New Roman" w:cs="Times New Roman"/>
                <w:color w:val="000000"/>
                <w:spacing w:val="-2"/>
                <w:sz w:val="24"/>
              </w:rPr>
              <w:lastRenderedPageBreak/>
              <w:t>образования, дополнительного образования для детей и среднего профессионального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Официальные данные </w:t>
            </w:r>
            <w:r>
              <w:rPr>
                <w:rFonts w:ascii="Times New Roman" w:eastAsia="Times New Roman" w:hAnsi="Times New Roman" w:cs="Times New Roman"/>
                <w:color w:val="000000"/>
                <w:spacing w:val="-2"/>
                <w:sz w:val="24"/>
              </w:rPr>
              <w:lastRenderedPageBreak/>
              <w:t>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ФЕДЕРАЛЬНАЯ СЛУЖБА ГОСУДАРСТВ</w:t>
            </w:r>
            <w:r>
              <w:rPr>
                <w:rFonts w:ascii="Times New Roman" w:eastAsia="Times New Roman" w:hAnsi="Times New Roman" w:cs="Times New Roman"/>
                <w:color w:val="000000"/>
                <w:spacing w:val="-2"/>
                <w:sz w:val="24"/>
              </w:rPr>
              <w:lastRenderedPageBreak/>
              <w:t>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1"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6" cstate="print"/>
                          <a:stretch>
                            <a:fillRect/>
                          </a:stretch>
                        </pic:blipFill>
                        <pic:spPr>
                          <a:xfrm>
                            <a:off x="0" y="0"/>
                            <a:ext cx="1920317" cy="548844"/>
                          </a:xfrm>
                          <a:prstGeom prst="rect">
                            <a:avLst/>
                          </a:prstGeom>
                        </pic:spPr>
                      </pic:pic>
                    </a:graphicData>
                  </a:graphic>
                </wp:inline>
              </w:drawing>
            </w:r>
          </w:p>
        </w:tc>
      </w:tr>
      <w:tr w:rsidR="00D0096B">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Yвсего - общее число обучающихся по программам общего образования, дополнительного образования для детей и среднего профессионального образования</w:t>
            </w:r>
          </w:p>
        </w:tc>
      </w:tr>
      <w:tr w:rsidR="00D0096B">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4"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7" cstate="print"/>
                          <a:stretch>
                            <a:fillRect/>
                          </a:stretch>
                        </pic:blipFill>
                        <pic:spPr>
                          <a:xfrm>
                            <a:off x="0" y="0"/>
                            <a:ext cx="1920317" cy="548844"/>
                          </a:xfrm>
                          <a:prstGeom prst="rect">
                            <a:avLst/>
                          </a:prstGeom>
                        </pic:spPr>
                      </pic:pic>
                    </a:graphicData>
                  </a:graphic>
                </wp:inline>
              </w:drawing>
            </w:r>
          </w:p>
        </w:tc>
      </w:tr>
      <w:tr w:rsidR="00D0096B">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образовательных организаций, реализующих программы общего образования, дополнительного </w:t>
            </w:r>
          </w:p>
        </w:tc>
      </w:tr>
      <w:tr w:rsidR="00D0096B">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123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образования детей и среднего профессионального образования</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5"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7" cstate="print"/>
                          <a:stretch>
                            <a:fillRect/>
                          </a:stretch>
                        </pic:blipFill>
                        <pic:spPr>
                          <a:xfrm>
                            <a:off x="0" y="0"/>
                            <a:ext cx="1920317" cy="548844"/>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образовательных организаций, реализующих программы общего </w:t>
            </w:r>
          </w:p>
        </w:tc>
      </w:tr>
      <w:tr w:rsidR="00D0096B">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176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образования, дополнительного образования детей и среднего профессионального образования</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6"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g"/>
                          <pic:cNvPicPr/>
                        </pic:nvPicPr>
                        <pic:blipFill>
                          <a:blip r:embed="rId8" cstate="print"/>
                          <a:stretch>
                            <a:fillRect/>
                          </a:stretch>
                        </pic:blipFill>
                        <pic:spPr>
                          <a:xfrm>
                            <a:off x="0" y="0"/>
                            <a:ext cx="1920317" cy="548206"/>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w:t>
            </w:r>
            <w:r>
              <w:rPr>
                <w:rFonts w:ascii="Times New Roman" w:eastAsia="Times New Roman" w:hAnsi="Times New Roman" w:cs="Times New Roman"/>
                <w:color w:val="000000"/>
                <w:spacing w:val="-2"/>
                <w:sz w:val="24"/>
              </w:rPr>
              <w:lastRenderedPageBreak/>
              <w:t>обучающихся по программам общего образования и среднего профессионального образования</w:t>
            </w:r>
          </w:p>
        </w:tc>
      </w:tr>
      <w:tr w:rsidR="00D0096B">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4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199</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7"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g"/>
                          <pic:cNvPicPr/>
                        </pic:nvPicPr>
                        <pic:blipFill>
                          <a:blip r:embed="rId8" cstate="print"/>
                          <a:stretch>
                            <a:fillRect/>
                          </a:stretch>
                        </pic:blipFill>
                        <pic:spPr>
                          <a:xfrm>
                            <a:off x="0" y="0"/>
                            <a:ext cx="1920317" cy="548844"/>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обучающихся по программам общего образования и среднего профессионального образования</w:t>
            </w:r>
          </w:p>
        </w:tc>
      </w:tr>
      <w:tr w:rsidR="00D0096B">
        <w:trPr>
          <w:trHeight w:hRule="exact" w:val="15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200</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8"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9" cstate="print"/>
                          <a:stretch>
                            <a:fillRect/>
                          </a:stretch>
                        </pic:blipFill>
                        <pic:spPr>
                          <a:xfrm>
                            <a:off x="0" y="0"/>
                            <a:ext cx="1920317" cy="548206"/>
                          </a:xfrm>
                          <a:prstGeom prst="rect">
                            <a:avLst/>
                          </a:prstGeom>
                        </pic:spPr>
                      </pic:pic>
                    </a:graphicData>
                  </a:graphic>
                </wp:inline>
              </w:drawing>
            </w:r>
          </w:p>
        </w:tc>
      </w:tr>
      <w:tr w:rsidR="00D0096B">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w:t>
            </w:r>
          </w:p>
        </w:tc>
      </w:tr>
      <w:tr w:rsidR="00D0096B">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9"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9" cstate="print"/>
                          <a:stretch>
                            <a:fillRect/>
                          </a:stretch>
                        </pic:blipFill>
                        <pic:spPr>
                          <a:xfrm>
                            <a:off x="0" y="0"/>
                            <a:ext cx="1920317" cy="548844"/>
                          </a:xfrm>
                          <a:prstGeom prst="rect">
                            <a:avLst/>
                          </a:prstGeom>
                        </pic:spPr>
                      </pic:pic>
                    </a:graphicData>
                  </a:graphic>
                </wp:inline>
              </w:drawing>
            </w:r>
          </w:p>
        </w:tc>
      </w:tr>
      <w:tr w:rsidR="00D0096B">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w:t>
            </w:r>
          </w:p>
        </w:tc>
      </w:tr>
      <w:tr w:rsidR="00D0096B">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bl>
    <w:p w:rsidR="00D67720" w:rsidRDefault="00D67720"/>
    <w:sectPr w:rsidR="00D67720">
      <w:pgSz w:w="16834" w:h="1190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D0096B"/>
    <w:rsid w:val="00246847"/>
    <w:rsid w:val="00D0096B"/>
    <w:rsid w:val="00D67720"/>
    <w:rsid w:val="00E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35295</Words>
  <Characters>201184</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RP_Cifrovaya_obrazovatel'naya_sreda_(Kabardino-Balkarskaya_Respublika)</vt:lpstr>
    </vt:vector>
  </TitlesOfParts>
  <Company>Stimulsoft Reports 2018.2.2 from 26 April 2018</Company>
  <LinksUpToDate>false</LinksUpToDate>
  <CharactersWithSpaces>236007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RP_Cifrovaya_obrazovatel'naya_sreda_(Kabardino-Balkarskaya_Respublika)</dc:title>
  <dc:subject>RP_Cifrovaya_obrazovatel'naya_sreda_(Kabardino-Balkarskaya_Respublika)</dc:subject>
  <dc:creator>User</dc:creator>
  <cp:lastModifiedBy>User</cp:lastModifiedBy>
  <cp:revision>2</cp:revision>
  <dcterms:created xsi:type="dcterms:W3CDTF">2020-02-06T06:50:00Z</dcterms:created>
  <dcterms:modified xsi:type="dcterms:W3CDTF">2020-02-06T06:50:00Z</dcterms:modified>
</cp:coreProperties>
</file>